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A2540" w:sz="12"/>
        </w:pBdr>
        <w:spacing w:after="60"/>
      </w:pPr>
      <w:r>
        <w:rPr>
          <w:color w:val="8EA1B8"/>
          <w:sz w:val="20"/>
          <w:szCs w:val="20"/>
        </w:rPr>
        <w:t xml:space="preserve">[ </w:t>
      </w:r>
      <w:r>
        <w:rPr>
          <w:rFonts w:ascii="Calibri" w:cs="Calibri" w:eastAsia="Calibri" w:hAnsi="Calibri"/>
          <w:b/>
          <w:bCs/>
          <w:sz w:val="21"/>
          <w:szCs w:val="21"/>
          <w:highlight w:val="yellow"/>
          <w:highlightCs w:val="yellow"/>
        </w:rPr>
        <w:t xml:space="preserve">INSERIRE LOGO E RAGIONE SOCIALE DELL'AZIENDA</w:t>
      </w:r>
      <w:r>
        <w:rPr>
          <w:color w:val="8EA1B8"/>
          <w:sz w:val="20"/>
          <w:szCs w:val="20"/>
        </w:rPr>
        <w:t xml:space="preserve"> ]</w:t>
      </w:r>
    </w:p>
    <w:p>
      <w:p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Sede legale: </w:t>
      </w:r>
      <w:r>
        <w:rPr>
          <w:rFonts w:ascii="Calibri" w:cs="Calibri" w:eastAsia="Calibri" w:hAnsi="Calibri"/>
          <w:b/>
          <w:bCs/>
          <w:sz w:val="21"/>
          <w:szCs w:val="21"/>
          <w:highlight w:val="yellow"/>
          <w:highlightCs w:val="yellow"/>
        </w:rPr>
        <w:t xml:space="preserve">[indirizzo]</w:t>
      </w:r>
      <w:r>
        <w:rPr>
          <w:rFonts w:ascii="Calibri" w:cs="Calibri" w:eastAsia="Calibri" w:hAnsi="Calibri"/>
          <w:sz w:val="19"/>
          <w:szCs w:val="19"/>
        </w:rPr>
        <w:t xml:space="preserve">   —   P.IVA: </w:t>
      </w:r>
      <w:r>
        <w:rPr>
          <w:rFonts w:ascii="Calibri" w:cs="Calibri" w:eastAsia="Calibri" w:hAnsi="Calibri"/>
          <w:b/>
          <w:bCs/>
          <w:sz w:val="21"/>
          <w:szCs w:val="21"/>
          <w:highlight w:val="yellow"/>
          <w:highlightCs w:val="yellow"/>
        </w:rPr>
        <w:t xml:space="preserve">[partita IVA]</w:t>
      </w:r>
    </w:p>
    <w:p>
      <w:pPr>
        <w:spacing w:after="320"/>
      </w:pPr>
      <w:r>
        <w:t xml:space="preserve"/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0A2540"/>
          <w:sz w:val="30"/>
          <w:szCs w:val="30"/>
        </w:rPr>
        <w:t xml:space="preserve">POLICY AZIENDALE PER L'UTILIZZO DEI SISTEMI DI INTELLIGENZA ARTIFICIALE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6B7A8D"/>
          <w:sz w:val="20"/>
          <w:szCs w:val="20"/>
        </w:rPr>
        <w:t xml:space="preserve">Regolamento interno ai sensi del Regolamento (UE) 2024/1689 (AI Act)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200"/>
        <w:gridCol w:w="2000"/>
        <w:gridCol w:w="1600"/>
      </w:tblGrid>
      <w:tr>
        <w:tc>
          <w:tcPr>
            <w:tcW w:type="dxa" w:w="2400"/>
            <w:shd w:fill="0A254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Versione</w:t>
            </w:r>
          </w:p>
        </w:tc>
        <w:tc>
          <w:tcPr>
            <w:tcW w:type="dxa" w:w="3200"/>
            <w:shd w:fill="0A254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 di adozione</w:t>
            </w:r>
          </w:p>
        </w:tc>
        <w:tc>
          <w:tcPr>
            <w:tcW w:type="dxa" w:w="2000"/>
            <w:shd w:fill="0A254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Approvata da</w:t>
            </w:r>
          </w:p>
        </w:tc>
        <w:tc>
          <w:tcPr>
            <w:tcW w:type="dxa" w:w="1600"/>
            <w:shd w:fill="0A254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Prossima revisione</w:t>
            </w:r>
          </w:p>
        </w:tc>
      </w:tr>
      <w:tr>
        <w:tc>
          <w:tcPr>
            <w:tcW w:type="dxa" w:w="2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  <w:highlight w:val="yellow"/>
                <w:highlightCs w:val="yellow"/>
              </w:rPr>
              <w:t xml:space="preserve">1.0</w:t>
            </w:r>
          </w:p>
        </w:tc>
        <w:tc>
          <w:tcPr>
            <w:tcW w:type="dxa" w:w="32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  <w:highlight w:val="yellow"/>
                <w:highlightCs w:val="yellow"/>
              </w:rPr>
              <w:t xml:space="preserve">__/__/____</w:t>
            </w:r>
          </w:p>
        </w:tc>
        <w:tc>
          <w:tcPr>
            <w:tcW w:type="dxa" w:w="20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  <w:highlight w:val="yellow"/>
                <w:highlightCs w:val="yellow"/>
              </w:rPr>
              <w:t xml:space="preserve">[organo/ruolo]</w:t>
            </w:r>
          </w:p>
        </w:tc>
        <w:tc>
          <w:tcPr>
            <w:tcW w:type="dxa" w:w="1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  <w:highlight w:val="yellow"/>
                <w:highlightCs w:val="yellow"/>
              </w:rPr>
              <w:t xml:space="preserve">__/__/____</w:t>
            </w:r>
          </w:p>
        </w:tc>
      </w:tr>
    </w:tbl>
    <w:p>
      <w:pPr>
        <w:spacing w:after="240"/>
      </w:pPr>
      <w: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00"/>
      </w:tblGrid>
      <w:tr>
        <w:tc>
          <w:tcPr>
            <w:tcW w:type="dxa" w:w="9200"/>
            <w:shd w:fill="F5F7FA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A2540"/>
                <w:sz w:val="20"/>
                <w:szCs w:val="20"/>
              </w:rPr>
              <w:t xml:space="preserve">Come utilizzare questo modello</w:t>
            </w:r>
          </w:p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Le parti evidenziate in giallo sono campi da compilare o adattare alla propria organizzazione. Il presente modello ha carattere generale: va calibrato sugli strumenti effettivamente utilizzati, sui ruoli coinvolti e sul livello di rischio dei sistemi impiegati. Non sostituisce una valutazione professionale.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1 — Finalità e ambito di applicazione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La presente policy stabilisce le regole per l'utilizzo dei sistemi di intelligenza artificiale, inclusi gli strumenti di IA generativa, nello svolgimento delle attività lavorative.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Si applica a tutto il personale dipendente, ai collaboratori, ai consulenti e a chiunque operi per conto di </w:t>
      </w:r>
      <w:r>
        <w:rPr>
          <w:rFonts w:ascii="Calibri" w:cs="Calibri" w:eastAsia="Calibri" w:hAnsi="Calibri"/>
          <w:b/>
          <w:bCs/>
          <w:sz w:val="21"/>
          <w:szCs w:val="21"/>
          <w:highlight w:val="yellow"/>
          <w:highlightCs w:val="yellow"/>
        </w:rPr>
        <w:t xml:space="preserve">[ragione sociale]</w:t>
      </w:r>
      <w:r>
        <w:rPr>
          <w:rFonts w:ascii="Calibri" w:cs="Calibri" w:eastAsia="Calibri" w:hAnsi="Calibri"/>
          <w:sz w:val="21"/>
          <w:szCs w:val="21"/>
        </w:rPr>
        <w:t xml:space="preserve"> utilizzando tali strumenti.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La finalità è consentire un uso utile e produttivo dell'intelligenza artificiale, garantendo al tempo stesso la protezione dei dati, la riservatezza delle informazioni e la conformità al Regolamento (UE) 2024/1689 e alla normativa sulla protezione dei dati personali.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2 — Strumenti autorizzati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Possono essere utilizzati esclusivamente gli strumenti di intelligenza artificiale espressamente autorizzati dall'azienda, nella versione e con l'account indicati.</w:t>
      </w:r>
    </w:p>
    <w:p>
      <w:pPr>
        <w:spacing w:after="100" w:line="280"/>
      </w:pPr>
      <w:r>
        <w:rPr>
          <w:rFonts w:ascii="Calibri" w:cs="Calibri" w:eastAsia="Calibri" w:hAnsi="Calibri"/>
          <w:sz w:val="21"/>
          <w:szCs w:val="21"/>
        </w:rPr>
        <w:t xml:space="preserve">Elenco degli strumenti attualmente autorizzati: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sz w:val="21"/>
          <w:szCs w:val="21"/>
          <w:highlight w:val="yellow"/>
          <w:highlightCs w:val="yellow"/>
        </w:rPr>
        <w:t xml:space="preserve">[es. ChatGPT — versione aziendale, account fornito dall'azienda]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sz w:val="21"/>
          <w:szCs w:val="21"/>
          <w:highlight w:val="yellow"/>
          <w:highlightCs w:val="yellow"/>
        </w:rPr>
        <w:t xml:space="preserve">[es. Microsoft Copilot — licenza aziendale]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rFonts w:ascii="Calibri" w:cs="Calibri" w:eastAsia="Calibri" w:hAnsi="Calibri"/>
          <w:b/>
          <w:bCs/>
          <w:sz w:val="21"/>
          <w:szCs w:val="21"/>
          <w:highlight w:val="yellow"/>
          <w:highlightCs w:val="yellow"/>
        </w:rPr>
        <w:t xml:space="preserve">[aggiungere / rimuovere secondo necessità]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L'introduzione di nuovi strumenti deve essere preventivamente richiesta e approvata dal referente indicato all'articolo 8. È vietato l'utilizzo di versioni gratuite o di account personali per il trattamento di informazioni aziendali, salvo diversa autorizzazione scritta.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3 — Classificazione delle informazioni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Possono essere inseriti negli strumenti di intelligenza artificiale esclusivamente dati pubblici o informazioni interne non riservate.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È espressamente vietato inserire: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dati personali di clienti, dipendenti, fornitori o terzi;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dati particolari (sanitari, giudiziari, biometrici) e dati relativi a minori;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informazioni coperte da segreto industriale, know-how o accordi di riservatezza;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documenti contrattuali, offerte economiche e informazioni finanziarie non pubbliche;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credenziali di accesso, password, chiavi API o codici di sicurezza;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codice sorgente proprietario e documentazione tecnica riservata.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Nel dubbio sulla natura di un'informazione, il personale è tenuto ad astenersi e a rivolgersi al referente indicato all'articolo 8.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4 — Supervisione umana degli output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Ogni risultato prodotto da un sistema di intelligenza artificiale deve essere verificato da una persona competente prima di essere utilizzato, pubblicato o condiviso.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La verifica riguarda l'accuratezza dei contenuti, l'assenza di elementi discriminatori o inappropriati e il rispetto dei diritti di terzi.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La responsabilità del contenuto finale resta sempre in capo alla persona che lo utilizza o lo diffonde: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l'intelligenza artificiale è uno strumento di supporto, non un decisore.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5 — Usi vietati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È vietato l'utilizzo di strumenti di intelligenza artificiale per: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assumere decisioni automatizzate su persone senza intervento umano significativo, in particolare in materia di selezione del personale, valutazione, accesso a servizi o merito creditizio;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generare contenuti ingannevoli, diffamatori o lesivi di diritti altrui;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riprodurre opere protette da diritto d'autore in violazione della normativa vigente;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svolgere attività riconducibili alle pratiche vietate dall'articolo 5 dell'AI Act;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Calibri" w:cs="Calibri" w:eastAsia="Calibri" w:hAnsi="Calibri"/>
          <w:sz w:val="21"/>
          <w:szCs w:val="21"/>
        </w:rPr>
        <w:t xml:space="preserve">sostituire pareri professionali qualificati in ambito legale, sanitario, fiscale o della sicurezza.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6 — Trasparenza verso l'esterno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Quando l'azienda mette a disposizione di clienti o utenti un assistente virtuale o un chatbot, è obbligatorio informare in modo chiaro che l'interlocutore sta interagendo con un sistema di intelligenza artificiale.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I contenuti destinati al pubblico prodotti o modificati in misura significativa con strumenti di intelligenza artificiale sono resi riconoscibili secondo le modalità previste dall'articolo 50 dell'AI Act e dalle procedure interne.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7 — Formazione del personale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L'azienda adotta misure proporzionate per sostenere lo sviluppo delle competenze del personale in materia di intelligenza artificiale, in attuazione dell'articolo 4 dell'AI Act.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La formazione è differenziata in base al ruolo, agli strumenti utilizzati e ai rischi connessi. Le iniziative formative, i contenuti trattati e i relativi partecipanti sono documentati e conservati.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8 — Referente interno e segnalazioni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È individuato quale referente aziendale per l'utilizzo dell'intelligenza artificiale: </w:t>
      </w:r>
      <w:r>
        <w:rPr>
          <w:rFonts w:ascii="Calibri" w:cs="Calibri" w:eastAsia="Calibri" w:hAnsi="Calibri"/>
          <w:b/>
          <w:bCs/>
          <w:sz w:val="21"/>
          <w:szCs w:val="21"/>
          <w:highlight w:val="yellow"/>
          <w:highlightCs w:val="yellow"/>
        </w:rPr>
        <w:t xml:space="preserve">[nome, cognome, ruolo, contatto]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Al referente ci si rivolge per chiarimenti, richieste di autorizzazione di nuovi strumenti e segnalazioni.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Ogni anomalia, errore rilevante, incidente o utilizzo non conforme deve essere segnalato tempestivamente al referente, che ne cura la registrazione e valuta le azioni necessarie.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9 — Violazioni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Il mancato rispetto della presente policy può comportare l'adozione dei provvedimenti previsti dal contratto collettivo applicabile e dalla normativa vigente, fatte salve le ulteriori conseguenze in caso di violazioni della normativa sulla protezione dei dati o di obblighi di riservatezza.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Articolo 10 — Aggiornamento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La presente policy è riesaminata con cadenza </w:t>
      </w:r>
      <w:r>
        <w:rPr>
          <w:rFonts w:ascii="Calibri" w:cs="Calibri" w:eastAsia="Calibri" w:hAnsi="Calibri"/>
          <w:b/>
          <w:bCs/>
          <w:sz w:val="21"/>
          <w:szCs w:val="21"/>
          <w:highlight w:val="yellow"/>
          <w:highlightCs w:val="yellow"/>
        </w:rPr>
        <w:t xml:space="preserve">[es. annuale]</w:t>
      </w:r>
      <w:r>
        <w:rPr>
          <w:rFonts w:ascii="Calibri" w:cs="Calibri" w:eastAsia="Calibri" w:hAnsi="Calibri"/>
          <w:sz w:val="21"/>
          <w:szCs w:val="21"/>
        </w:rPr>
        <w:t xml:space="preserve"> e comunque in occasione dell'introduzione di nuovi strumenti, di modifiche organizzative rilevanti o di aggiornamenti normativi. Le revisioni sono comunicate a tutto il personale interessato.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A2540"/>
          <w:sz w:val="26"/>
          <w:szCs w:val="26"/>
        </w:rPr>
        <w:t xml:space="preserve">Approvazione</w:t>
      </w:r>
    </w:p>
    <w:p>
      <w:pP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>Il presente documento è adottato dall'organo competente e comunicato a tutto il personale interessato.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</w:tblGrid>
      <w:tr>
        <w:tc>
          <w:tcPr>
            <w:tcW w:type="dxa" w:w="4600"/>
            <w:shd w:fill="F5F7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A2540"/>
                <w:sz w:val="19"/>
                <w:szCs w:val="19"/>
              </w:rPr>
              <w:t xml:space="preserve">Luogo e data</w:t>
            </w:r>
          </w:p>
        </w:tc>
        <w:tc>
          <w:tcPr>
            <w:tcW w:type="dxa" w:w="4600"/>
            <w:shd w:fill="F5F7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A2540"/>
                <w:sz w:val="19"/>
                <w:szCs w:val="19"/>
              </w:rPr>
              <w:t xml:space="preserve">Firma del legale rappresentante</w:t>
            </w:r>
          </w:p>
        </w:tc>
      </w:tr>
      <w:tr>
        <w:tc>
          <w:tcPr>
            <w:tcW w:type="dxa" w:w="4600"/>
            <w:tcMar>
              <w:top w:type="dxa" w:w="200"/>
              <w:left w:type="dxa" w:w="120"/>
              <w:bottom w:type="dxa" w:w="4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</w:t>
            </w:r>
          </w:p>
        </w:tc>
        <w:tc>
          <w:tcPr>
            <w:tcW w:type="dxa" w:w="4600"/>
            <w:tcMar>
              <w:top w:type="dxa" w:w="200"/>
              <w:left w:type="dxa" w:w="120"/>
              <w:bottom w:type="dxa" w:w="4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</w:t>
            </w:r>
          </w:p>
        </w:tc>
      </w:tr>
    </w:tbl>
    <w:p>
      <w:pPr>
        <w:spacing w:after="160" w:before="400"/>
      </w:pPr>
      <w:r>
        <w:rPr>
          <w:rFonts w:ascii="Calibri" w:cs="Calibri" w:eastAsia="Calibri" w:hAnsi="Calibri"/>
          <w:b/>
          <w:bCs/>
          <w:color w:val="0A2540"/>
          <w:sz w:val="24"/>
          <w:szCs w:val="24"/>
        </w:rPr>
        <w:t xml:space="preserve">Modulo di presa visione</w:t>
      </w:r>
    </w:p>
    <w:p>
      <w:pPr>
        <w:spacing w:after="140" w:line="280"/>
      </w:pPr>
      <w:r>
        <w:rPr>
          <w:rFonts w:ascii="Calibri" w:cs="Calibri" w:eastAsia="Calibri" w:hAnsi="Calibri"/>
          <w:sz w:val="21"/>
          <w:szCs w:val="21"/>
        </w:rPr>
        <w:t xml:space="preserve">Il sottoscritto dichiara di aver ricevuto, letto e compreso la policy aziendale per l'utilizzo dei sistemi di intelligenza artificiale e si impegna a rispettarne le disposizioni.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00"/>
        <w:gridCol w:w="1800"/>
        <w:gridCol w:w="2400"/>
      </w:tblGrid>
      <w:tr>
        <w:tc>
          <w:tcPr>
            <w:tcW w:type="dxa" w:w="2600"/>
            <w:shd w:fill="0A2540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Nome e cognome</w:t>
            </w:r>
          </w:p>
        </w:tc>
        <w:tc>
          <w:tcPr>
            <w:tcW w:type="dxa" w:w="2400"/>
            <w:shd w:fill="0A2540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Ruolo / Funzione</w:t>
            </w:r>
          </w:p>
        </w:tc>
        <w:tc>
          <w:tcPr>
            <w:tcW w:type="dxa" w:w="1800"/>
            <w:shd w:fill="0A2540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Data</w:t>
            </w:r>
          </w:p>
        </w:tc>
        <w:tc>
          <w:tcPr>
            <w:tcW w:type="dxa" w:w="2400"/>
            <w:shd w:fill="0A2540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Firma</w:t>
            </w:r>
          </w:p>
        </w:tc>
      </w:tr>
      <w:tr>
        <w:tc>
          <w:tcPr>
            <w:tcW w:type="dxa" w:w="26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D6DEE8" w:sz="6"/>
        </w:pBdr>
        <w:spacing w:before="360"/>
      </w:pPr>
      <w:r>
        <w:rPr>
          <w:rFonts w:ascii="Calibri" w:cs="Calibri" w:eastAsia="Calibri" w:hAnsi="Calibri"/>
          <w:i/>
          <w:iCs/>
          <w:color w:val="8EA1B8"/>
          <w:sz w:val="17"/>
          <w:szCs w:val="17"/>
        </w:rPr>
        <w:t xml:space="preserve">Modello predisposto a fini divulgativi. Va adattato alla realtà della singola organizzazione e non sostituisce una valutazione professionale.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EA1B8"/>
        <w:sz w:val="16"/>
        <w:szCs w:val="16"/>
      </w:rPr>
      <w:t xml:space="preserve">Pagina </w:t>
    </w:r>
    <w:r>
      <w:rPr>
        <w:rFonts w:ascii="Calibri" w:cs="Calibri" w:eastAsia="Calibri" w:hAnsi="Calibri"/>
        <w:color w:val="8EA1B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EA1B8"/>
        <w:sz w:val="16"/>
        <w:szCs w:val="16"/>
      </w:rPr>
      <w:t xml:space="preserve"> di </w:t>
    </w:r>
    <w:r>
      <w:rPr>
        <w:rFonts w:ascii="Calibri" w:cs="Calibri" w:eastAsia="Calibri" w:hAnsi="Calibri"/>
        <w:color w:val="8EA1B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DEE8" w:sz="6"/>
      </w:pBdr>
      <w:spacing w:after="60"/>
      <w:jc w:val="right"/>
    </w:pPr>
    <w:r>
      <w:rPr>
        <w:rFonts w:ascii="Calibri" w:cs="Calibri" w:eastAsia="Calibri" w:hAnsi="Calibri"/>
        <w:color w:val="8EA1B8"/>
        <w:sz w:val="16"/>
        <w:szCs w:val="16"/>
      </w:rPr>
      <w:t xml:space="preserve">Policy aziendale per l'utilizzo dell'intelligenza artificiale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2026-07-23T09:54:12.029Z</dcterms:created>
  <dcterms:modified xsi:type="dcterms:W3CDTF">2026-07-23T09:54:12.047Z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